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Title"/>
      </w:pPr>
      <w:r>
        <w:t xml:space="preserve">Finanzordnung (NWKyuV)</w:t>
      </w:r>
    </w:p>
    <w:p>
      <w:pPr>
        <w:pStyle w:val="Date"/>
      </w:pPr>
      <w:r>
        <w:t xml:space="preserve">2025-10-28</w:t>
      </w:r>
    </w:p>
    <w:bookmarkStart w:id="15" w:name="i.-haushaltsführung"/>
    <w:p>
      <w:pPr>
        <w:pStyle w:val="Heading2"/>
      </w:pPr>
      <w:r>
        <w:t xml:space="preserve">I. Haushaltsführung</w:t>
      </w:r>
    </w:p>
    <w:bookmarkStart w:id="9" w:name="grundsatz-der-sparsamkeit"/>
    <w:p>
      <w:pPr>
        <w:pStyle w:val="Heading3"/>
      </w:pPr>
      <w:r>
        <w:t xml:space="preserve">§1 [Grundsatz der Sparsamkeit]</w:t>
      </w:r>
    </w:p>
    <w:p>
      <w:pPr>
        <w:pStyle w:val="FirstParagraph"/>
      </w:pPr>
      <w:r>
        <w:t xml:space="preserve">Die Finanzwirtschaft des NWKyuV ist wirtschaftlich zu führen.</w:t>
      </w:r>
    </w:p>
    <w:bookmarkEnd w:id="9"/>
    <w:bookmarkStart w:id="10" w:name="wirtschaftsjahr-und-jahresabschluß"/>
    <w:p>
      <w:pPr>
        <w:pStyle w:val="Heading3"/>
      </w:pPr>
      <w:r>
        <w:t xml:space="preserve">§2 [Wirtschaftsjahr und Jahresabschluß]</w:t>
      </w:r>
    </w:p>
    <w:p>
      <w:pPr>
        <w:numPr>
          <w:ilvl w:val="0"/>
          <w:numId w:val="1001"/>
        </w:numPr>
      </w:pPr>
      <w:r>
        <w:t xml:space="preserve">Das Wirtschaftsjahr beginnt am 1. September und geht bis zum 31. August des Folgejahres.</w:t>
      </w:r>
      <w:r>
        <w:t xml:space="preserve"> </w:t>
      </w:r>
      <w:r>
        <w:t xml:space="preserve">Der Jahresabschluß wird vom Kassenwart erstellt.</w:t>
      </w:r>
    </w:p>
    <w:p>
      <w:pPr>
        <w:numPr>
          <w:ilvl w:val="0"/>
          <w:numId w:val="1001"/>
        </w:numPr>
      </w:pPr>
      <w:r>
        <w:t xml:space="preserve">Im Jahresabschluß sind die Einnahmen und Ausgaben des Haushaltsplanes nachzuweisen und</w:t>
      </w:r>
      <w:r>
        <w:t xml:space="preserve"> </w:t>
      </w:r>
      <w:r>
        <w:t xml:space="preserve">die Schulden sowie das Vermögen aufzuführen.</w:t>
      </w:r>
      <w:r>
        <w:t xml:space="preserve"> </w:t>
      </w:r>
      <w:r>
        <w:t xml:space="preserve">Es genügt, die ständigem Verbrauch unterliegenden Büromaterialien summarisch zu erfassen.</w:t>
      </w:r>
    </w:p>
    <w:p>
      <w:pPr>
        <w:numPr>
          <w:ilvl w:val="0"/>
          <w:numId w:val="1001"/>
        </w:numPr>
      </w:pPr>
      <w:r>
        <w:t xml:space="preserve">Der Jahresabschluß wird durch zwei Kassenprüfer geprüft und</w:t>
      </w:r>
      <w:r>
        <w:t xml:space="preserve"> </w:t>
      </w:r>
      <w:r>
        <w:t xml:space="preserve">durch den Kassenwart in der Mitgliederversammlung veröffentlicht.</w:t>
      </w:r>
    </w:p>
    <w:bookmarkEnd w:id="10"/>
    <w:bookmarkStart w:id="11" w:name="kassenprüfer-und-gemeinnützigkeit"/>
    <w:p>
      <w:pPr>
        <w:pStyle w:val="Heading3"/>
      </w:pPr>
      <w:r>
        <w:t xml:space="preserve">§3 [Kassenprüfer und Gemeinnützigkeit]</w:t>
      </w:r>
    </w:p>
    <w:p>
      <w:pPr>
        <w:numPr>
          <w:ilvl w:val="0"/>
          <w:numId w:val="1002"/>
        </w:numPr>
      </w:pPr>
      <w:r>
        <w:t xml:space="preserve">Mitgliederversammlung wählt alle zwei Jahre zwei Kassenprüfer.</w:t>
      </w:r>
      <w:r>
        <w:t xml:space="preserve"> </w:t>
      </w:r>
      <w:r>
        <w:t xml:space="preserve">Wiederwahl ist möglich.</w:t>
      </w:r>
      <w:r>
        <w:t xml:space="preserve"> </w:t>
      </w:r>
      <w:r>
        <w:t xml:space="preserve">Die Amtszeit beträgt zwei Jahre.</w:t>
      </w:r>
      <w:r>
        <w:t xml:space="preserve"> </w:t>
      </w:r>
      <w:r>
        <w:t xml:space="preserve">Zur Mitgliederversammlung haben die Kassenprüfer einen Bericht vorzulegen.</w:t>
      </w:r>
    </w:p>
    <w:p>
      <w:pPr>
        <w:numPr>
          <w:ilvl w:val="0"/>
          <w:numId w:val="1002"/>
        </w:numPr>
      </w:pPr>
      <w:r>
        <w:t xml:space="preserve">Der Vorsitzende beantragt in Zusemmanarbeit mit dem Kassenwart die</w:t>
      </w:r>
      <w:r>
        <w:t xml:space="preserve"> </w:t>
      </w:r>
      <w:r>
        <w:t xml:space="preserve">“Anerkennung der Gemeinnützigkeit”</w:t>
      </w:r>
      <w:r>
        <w:t xml:space="preserve"> </w:t>
      </w:r>
      <w:r>
        <w:t xml:space="preserve">beim Finanzamt und</w:t>
      </w:r>
      <w:r>
        <w:t xml:space="preserve"> </w:t>
      </w:r>
      <w:r>
        <w:t xml:space="preserve">bittet rechtzeitig um Verlängerung des Antrages.</w:t>
      </w:r>
    </w:p>
    <w:bookmarkEnd w:id="11"/>
    <w:bookmarkStart w:id="12" w:name="zahlungsverkehr"/>
    <w:p>
      <w:pPr>
        <w:pStyle w:val="Heading3"/>
      </w:pPr>
      <w:r>
        <w:t xml:space="preserve">§4 [Zahlungsverkehr]</w:t>
      </w:r>
    </w:p>
    <w:p>
      <w:pPr>
        <w:numPr>
          <w:ilvl w:val="0"/>
          <w:numId w:val="1003"/>
        </w:numPr>
      </w:pPr>
      <w:r>
        <w:t xml:space="preserve">Der Zahlungsverkehr ist möglichst bargeldlos über das Konto des NWKyuV abzuwickeln.</w:t>
      </w:r>
      <w:r>
        <w:t xml:space="preserve"> </w:t>
      </w:r>
      <w:r>
        <w:t xml:space="preserve">Über jede Ausgabe und Einnahme muß ein Kassenbeleg vorhanden sein.</w:t>
      </w:r>
      <w:r>
        <w:t xml:space="preserve"> </w:t>
      </w:r>
      <w:r>
        <w:t xml:space="preserve">Belege müssen den Tag der Ausgabe, den Betrag und den Verwendungszweck enthalten.</w:t>
      </w:r>
      <w:r>
        <w:t xml:space="preserve"> </w:t>
      </w:r>
      <w:r>
        <w:t xml:space="preserve">Bei Gesamtabrechnungen ist auf dem Deckblatt die Zahl der Unterbelege zu vermerken.</w:t>
      </w:r>
    </w:p>
    <w:p>
      <w:pPr>
        <w:numPr>
          <w:ilvl w:val="0"/>
          <w:numId w:val="1003"/>
        </w:numPr>
      </w:pPr>
      <w:r>
        <w:t xml:space="preserve">Der Verband führt für den laufenden Zahlungsverkehr das Verbandskonto:</w:t>
      </w:r>
      <w:r>
        <w:t xml:space="preserve"> </w:t>
      </w:r>
      <w:r>
        <w:t xml:space="preserve">VR-Bank Altenburger Land eG, IBAN: DE87830654080004900375 BIC: GENODEF1SLR</w:t>
      </w:r>
    </w:p>
    <w:p>
      <w:pPr>
        <w:numPr>
          <w:ilvl w:val="0"/>
          <w:numId w:val="1003"/>
        </w:numPr>
      </w:pPr>
      <w:r>
        <w:t xml:space="preserve">Unterschriftbevollmächtigt sind die Vorstandsmitglieder lt. §26 BGB mit Einzelverfügungsrecht.</w:t>
      </w:r>
    </w:p>
    <w:bookmarkEnd w:id="12"/>
    <w:bookmarkStart w:id="13" w:name="zahlungsanweisungen"/>
    <w:p>
      <w:pPr>
        <w:pStyle w:val="Heading3"/>
      </w:pPr>
      <w:r>
        <w:t xml:space="preserve">§5 [Zahlungsanweisungen]</w:t>
      </w:r>
    </w:p>
    <w:p>
      <w:pPr>
        <w:pStyle w:val="Compact"/>
        <w:numPr>
          <w:ilvl w:val="0"/>
          <w:numId w:val="1004"/>
        </w:numPr>
      </w:pPr>
      <w:r>
        <w:t xml:space="preserve">Im Rahmen des Haushaltsplans kann auch alleine der Kassenwart unterzeichnen.</w:t>
      </w:r>
    </w:p>
    <w:bookmarkEnd w:id="13"/>
    <w:bookmarkStart w:id="14" w:name="kassenabschluß"/>
    <w:p>
      <w:pPr>
        <w:pStyle w:val="Heading3"/>
      </w:pPr>
      <w:r>
        <w:t xml:space="preserve">§6 [Kassenabschluß]</w:t>
      </w:r>
    </w:p>
    <w:p>
      <w:pPr>
        <w:numPr>
          <w:ilvl w:val="0"/>
          <w:numId w:val="1005"/>
        </w:numPr>
      </w:pPr>
      <w:r>
        <w:t xml:space="preserve">Es ist ein Kassenbuch zu führen.</w:t>
      </w:r>
      <w:r>
        <w:t xml:space="preserve"> </w:t>
      </w:r>
      <w:r>
        <w:t xml:space="preserve">Die Eintragungen sind stets mit Datum zu versehen.</w:t>
      </w:r>
    </w:p>
    <w:p>
      <w:pPr>
        <w:numPr>
          <w:ilvl w:val="0"/>
          <w:numId w:val="1005"/>
        </w:numPr>
      </w:pPr>
      <w:r>
        <w:t xml:space="preserve">Nach Jahresabschluß hat der Kassenwart den Kassenprüfern sämtliche</w:t>
      </w:r>
      <w:r>
        <w:t xml:space="preserve"> </w:t>
      </w:r>
      <w:r>
        <w:t xml:space="preserve">Kassenunterlagen zur Prüfung zu übergeben.</w:t>
      </w:r>
      <w:r>
        <w:t xml:space="preserve"> </w:t>
      </w:r>
      <w:r>
        <w:t xml:space="preserve">Die Prüfung erstreckt sich auf alle im Jahresabschluß aufgeführten Positionen,</w:t>
      </w:r>
      <w:r>
        <w:t xml:space="preserve"> </w:t>
      </w:r>
      <w:r>
        <w:t xml:space="preserve">die rechnerische Richtigkeit der Kassenunterlagen und</w:t>
      </w:r>
      <w:r>
        <w:t xml:space="preserve"> </w:t>
      </w:r>
      <w:r>
        <w:t xml:space="preserve">die sachliche Zweckmäßigkeit der Ausgaben.</w:t>
      </w:r>
    </w:p>
    <w:bookmarkEnd w:id="14"/>
    <w:bookmarkEnd w:id="15"/>
    <w:bookmarkStart w:id="22" w:name="ii.-beitragsordnung"/>
    <w:p>
      <w:pPr>
        <w:pStyle w:val="Heading2"/>
      </w:pPr>
      <w:r>
        <w:t xml:space="preserve">II. Beitragsordnung</w:t>
      </w:r>
    </w:p>
    <w:bookmarkStart w:id="16" w:name="grundlagen"/>
    <w:p>
      <w:pPr>
        <w:pStyle w:val="Heading3"/>
      </w:pPr>
      <w:r>
        <w:t xml:space="preserve">§7 [Grundlagen]</w:t>
      </w:r>
    </w:p>
    <w:p>
      <w:pPr>
        <w:pStyle w:val="FirstParagraph"/>
      </w:pPr>
      <w:r>
        <w:t xml:space="preserve">Als Grundlagen der Beitragsbemessung für ein Jahr gelten die Stärkemeldungen</w:t>
      </w:r>
      <w:r>
        <w:t xml:space="preserve"> </w:t>
      </w:r>
      <w:r>
        <w:t xml:space="preserve">der Mitglieder des NWKyuV zur Meldung an den DKyuB.</w:t>
      </w:r>
    </w:p>
    <w:bookmarkEnd w:id="16"/>
    <w:bookmarkStart w:id="17" w:name="verfahren"/>
    <w:p>
      <w:pPr>
        <w:pStyle w:val="Heading3"/>
      </w:pPr>
      <w:r>
        <w:t xml:space="preserve">§8 [Verfahren]</w:t>
      </w:r>
    </w:p>
    <w:p>
      <w:pPr>
        <w:pStyle w:val="FirstParagraph"/>
      </w:pPr>
      <w:r>
        <w:t xml:space="preserve">Die Anforderungen der Stärkemeldungen gehen vom Vorstand des NWKyuV an die Mitglieder und</w:t>
      </w:r>
      <w:r>
        <w:t xml:space="preserve"> </w:t>
      </w:r>
      <w:r>
        <w:t xml:space="preserve">müssen von diesen innerhalb der vorgesehenen Frist an den NWKyuV zurückgesandt werden.</w:t>
      </w:r>
    </w:p>
    <w:bookmarkEnd w:id="17"/>
    <w:bookmarkStart w:id="18" w:name="beitragsfestsetzung"/>
    <w:p>
      <w:pPr>
        <w:pStyle w:val="Heading3"/>
      </w:pPr>
      <w:r>
        <w:t xml:space="preserve">§9 [Beitragsfestsetzung]</w:t>
      </w:r>
    </w:p>
    <w:p>
      <w:pPr>
        <w:pStyle w:val="FirstParagraph"/>
      </w:pPr>
      <w:r>
        <w:t xml:space="preserve">Der Mitgliedsbeitrag wird von der Mitgliederversammlung festgelegt.</w:t>
      </w:r>
      <w:r>
        <w:t xml:space="preserve"> </w:t>
      </w:r>
      <w:r>
        <w:t xml:space="preserve">Der Beitrag isz zu zahlen je Einzelmitglied des dem Verband angeschlossenen Mitglieds.</w:t>
      </w:r>
      <w:r>
        <w:t xml:space="preserve"> </w:t>
      </w:r>
      <w:r>
        <w:t xml:space="preserve">Im Beitrag sind enthalten:</w:t>
      </w:r>
    </w:p>
    <w:p>
      <w:pPr>
        <w:pStyle w:val="Compact"/>
        <w:numPr>
          <w:ilvl w:val="0"/>
          <w:numId w:val="1006"/>
        </w:numPr>
      </w:pPr>
    </w:p>
    <w:p>
      <w:pPr>
        <w:pStyle w:val="Compact"/>
        <w:numPr>
          <w:ilvl w:val="1"/>
          <w:numId w:val="1007"/>
        </w:numPr>
      </w:pPr>
      <w:r>
        <w:t xml:space="preserve">der Jahresbeitrag des NWKyuV</w:t>
      </w:r>
    </w:p>
    <w:p>
      <w:pPr>
        <w:pStyle w:val="Compact"/>
        <w:numPr>
          <w:ilvl w:val="0"/>
          <w:numId w:val="1006"/>
        </w:numPr>
      </w:pPr>
    </w:p>
    <w:p>
      <w:pPr>
        <w:pStyle w:val="Compact"/>
        <w:numPr>
          <w:ilvl w:val="1"/>
          <w:numId w:val="1008"/>
        </w:numPr>
      </w:pPr>
      <w:r>
        <w:t xml:space="preserve">der Beitrag für den NW-Kendo-Verband</w:t>
      </w:r>
    </w:p>
    <w:bookmarkEnd w:id="18"/>
    <w:bookmarkStart w:id="19" w:name="beitragsrechnung"/>
    <w:p>
      <w:pPr>
        <w:pStyle w:val="Heading3"/>
      </w:pPr>
      <w:r>
        <w:t xml:space="preserve">§10 [Beitragsrechnung]</w:t>
      </w:r>
    </w:p>
    <w:p>
      <w:pPr>
        <w:pStyle w:val="FirstParagraph"/>
      </w:pPr>
      <w:r>
        <w:t xml:space="preserve">Der Mitglied erhält vom NWKyuV eine Beitragsrechnung.</w:t>
      </w:r>
      <w:r>
        <w:t xml:space="preserve"> </w:t>
      </w:r>
      <w:r>
        <w:t xml:space="preserve">Der darin aufgeführte Betrag ist bis zum 15. Februar des Jahres auf das</w:t>
      </w:r>
      <w:r>
        <w:t xml:space="preserve"> </w:t>
      </w:r>
      <w:r>
        <w:t xml:space="preserve">angegebene Konto des Verbandes zu überweisen.</w:t>
      </w:r>
    </w:p>
    <w:bookmarkEnd w:id="19"/>
    <w:bookmarkStart w:id="20" w:name="aufnahme-aufnahmegebühr"/>
    <w:p>
      <w:pPr>
        <w:pStyle w:val="Heading3"/>
      </w:pPr>
      <w:r>
        <w:t xml:space="preserve">§11 [Aufnahme / Aufnahmegebühr]</w:t>
      </w:r>
    </w:p>
    <w:p>
      <w:pPr>
        <w:pStyle w:val="FirstParagraph"/>
      </w:pPr>
      <w:r>
        <w:t xml:space="preserve">Unmittelbar nach der Aufnahme in den NWKyuV ist eine einmalige Aufnahmegebühr zu entrichten.</w:t>
      </w:r>
      <w:r>
        <w:t xml:space="preserve"> </w:t>
      </w:r>
      <w:r>
        <w:t xml:space="preserve">Der aufgenommene Kyudo-Verein oder die Kyudo-Abteilung eines Vereins zahlt pro Mitglied 1 Euro.</w:t>
      </w:r>
    </w:p>
    <w:bookmarkEnd w:id="20"/>
    <w:bookmarkStart w:id="21" w:name="mahnungsmaßnahmen"/>
    <w:p>
      <w:pPr>
        <w:pStyle w:val="Heading3"/>
      </w:pPr>
      <w:r>
        <w:t xml:space="preserve">§12 [Mahnungsmaßnahmen]</w:t>
      </w:r>
    </w:p>
    <w:p>
      <w:pPr>
        <w:pStyle w:val="Compact"/>
        <w:numPr>
          <w:ilvl w:val="0"/>
          <w:numId w:val="1009"/>
        </w:numPr>
      </w:pPr>
      <w:r>
        <w:t xml:space="preserve">Bei Nichterfüllung des finanziellen Forderungen des Verbandes werden die Rückstände angemahnt;</w:t>
      </w:r>
      <w:r>
        <w:t xml:space="preserve"> </w:t>
      </w:r>
      <w:r>
        <w:t xml:space="preserve">darüber hinaus hat der Vorstand das Recht,</w:t>
      </w:r>
      <w:r>
        <w:t xml:space="preserve"> </w:t>
      </w:r>
      <w:r>
        <w:t xml:space="preserve">ab dem der Fälligkeit folgenden Monat:</w:t>
      </w:r>
    </w:p>
    <w:p>
      <w:pPr>
        <w:pStyle w:val="Compact"/>
        <w:numPr>
          <w:ilvl w:val="0"/>
          <w:numId w:val="1010"/>
        </w:numPr>
      </w:pPr>
    </w:p>
    <w:p>
      <w:pPr>
        <w:pStyle w:val="Compact"/>
        <w:numPr>
          <w:ilvl w:val="1"/>
          <w:numId w:val="1011"/>
        </w:numPr>
      </w:pPr>
      <w:r>
        <w:t xml:space="preserve">eine Verwaltungsgebühr von 30,-€ zu verlangen</w:t>
      </w:r>
    </w:p>
    <w:p>
      <w:pPr>
        <w:pStyle w:val="Compact"/>
        <w:numPr>
          <w:ilvl w:val="0"/>
          <w:numId w:val="1010"/>
        </w:numPr>
      </w:pPr>
    </w:p>
    <w:p>
      <w:pPr>
        <w:pStyle w:val="Compact"/>
        <w:numPr>
          <w:ilvl w:val="1"/>
          <w:numId w:val="1012"/>
        </w:numPr>
      </w:pPr>
      <w:r>
        <w:t xml:space="preserve">das Stimmrecht ruhen zu lassen</w:t>
      </w:r>
    </w:p>
    <w:p>
      <w:pPr>
        <w:pStyle w:val="Compact"/>
        <w:numPr>
          <w:ilvl w:val="0"/>
          <w:numId w:val="1010"/>
        </w:numPr>
      </w:pPr>
    </w:p>
    <w:p>
      <w:pPr>
        <w:pStyle w:val="Compact"/>
        <w:numPr>
          <w:ilvl w:val="1"/>
          <w:numId w:val="1013"/>
        </w:numPr>
      </w:pPr>
      <w:r>
        <w:t xml:space="preserve">Mittel vom Zuwender oder eigene Mittel auszusetzen</w:t>
      </w:r>
    </w:p>
    <w:p>
      <w:pPr>
        <w:pStyle w:val="Compact"/>
        <w:numPr>
          <w:ilvl w:val="0"/>
          <w:numId w:val="1010"/>
        </w:numPr>
      </w:pPr>
    </w:p>
    <w:p>
      <w:pPr>
        <w:pStyle w:val="Compact"/>
        <w:numPr>
          <w:ilvl w:val="1"/>
          <w:numId w:val="1014"/>
        </w:numPr>
      </w:pPr>
      <w:r>
        <w:t xml:space="preserve">Bei dreimonatigem Rückstand kann der Vorstand den Ausschluß aus dem Verband beschließen</w:t>
      </w:r>
    </w:p>
    <w:p>
      <w:pPr>
        <w:pStyle w:val="Compact"/>
        <w:numPr>
          <w:ilvl w:val="0"/>
          <w:numId w:val="1015"/>
        </w:numPr>
      </w:pPr>
      <w:r>
        <w:t xml:space="preserve">Statt der Maßnahmen zu §12.1 kann der Vorstand in einzelfällen eine Verrechnung</w:t>
      </w:r>
      <w:r>
        <w:t xml:space="preserve"> </w:t>
      </w:r>
      <w:r>
        <w:t xml:space="preserve">mit Mitteln vornehmen, auf die das Mitglied ein Anrecht erworben hat.</w:t>
      </w:r>
      <w:r>
        <w:t xml:space="preserve"> </w:t>
      </w:r>
      <w:r>
        <w:t xml:space="preserve">Einer ausdrücklichen Abtretungserklärung seitens des Mitglieds bedarf es dazu nicht.</w:t>
      </w:r>
    </w:p>
    <w:bookmarkEnd w:id="21"/>
    <w:bookmarkEnd w:id="22"/>
    <w:bookmarkStart w:id="28" w:name="iii.-spesenordnung"/>
    <w:p>
      <w:pPr>
        <w:pStyle w:val="Heading2"/>
      </w:pPr>
      <w:r>
        <w:t xml:space="preserve">III. Spesenordnung</w:t>
      </w:r>
    </w:p>
    <w:bookmarkStart w:id="23" w:name="allgemeines"/>
    <w:p>
      <w:pPr>
        <w:pStyle w:val="Heading3"/>
      </w:pPr>
      <w:r>
        <w:t xml:space="preserve">§13 [Allgemeines]</w:t>
      </w:r>
    </w:p>
    <w:p>
      <w:pPr>
        <w:numPr>
          <w:ilvl w:val="0"/>
          <w:numId w:val="1016"/>
        </w:numPr>
      </w:pPr>
      <w:r>
        <w:t xml:space="preserve">Die Spesenordnung regelt die Erstattung von Reisekosten und</w:t>
      </w:r>
      <w:r>
        <w:t xml:space="preserve"> </w:t>
      </w:r>
      <w:r>
        <w:t xml:space="preserve">die Kostenabwicklung von Landesveranstaltungen.</w:t>
      </w:r>
    </w:p>
    <w:p>
      <w:pPr>
        <w:numPr>
          <w:ilvl w:val="0"/>
          <w:numId w:val="1016"/>
        </w:numPr>
      </w:pPr>
      <w:r>
        <w:t xml:space="preserve">Die Auszahlungen erfolgen nur gegen Vorlage eines vollständig ausgefüllten</w:t>
      </w:r>
      <w:r>
        <w:t xml:space="preserve"> </w:t>
      </w:r>
      <w:r>
        <w:t xml:space="preserve">entsprechenden NWKyuV Formblattes</w:t>
      </w:r>
      <w:r>
        <w:t xml:space="preserve"> </w:t>
      </w:r>
      <w:r>
        <w:t xml:space="preserve">(NWKyuV Reisekostenabrechnungs- / NWKyuV Veranstaltungsabrechnungsformular)</w:t>
      </w:r>
      <w:r>
        <w:t xml:space="preserve"> </w:t>
      </w:r>
      <w:r>
        <w:t xml:space="preserve">mit Belegen und Unterlagen durch den Kassenwart des NWKyuV oder des Beauftraten.</w:t>
      </w:r>
      <w:r>
        <w:t xml:space="preserve"> </w:t>
      </w:r>
      <w:r>
        <w:t xml:space="preserve">Erstattet werden grundsätzlich nur tatsächlich entstandene Aufwendungen.</w:t>
      </w:r>
    </w:p>
    <w:p>
      <w:pPr>
        <w:numPr>
          <w:ilvl w:val="0"/>
          <w:numId w:val="1016"/>
        </w:numPr>
      </w:pPr>
      <w:r>
        <w:t xml:space="preserve">Die Abrechnungen sind zeitnah vorzulegen, d.h. spätestens bis zum 15. des Folgemonats.</w:t>
      </w:r>
      <w:r>
        <w:t xml:space="preserve"> </w:t>
      </w:r>
      <w:r>
        <w:t xml:space="preserve">Der Anspruch auf Reisekostenerstattung erlischt,</w:t>
      </w:r>
      <w:r>
        <w:t xml:space="preserve"> </w:t>
      </w:r>
      <w:r>
        <w:t xml:space="preserve">wenn sie nicht innerhalb einer Frist von sechs Monaten nach der Fahrt schriftlich</w:t>
      </w:r>
      <w:r>
        <w:t xml:space="preserve"> </w:t>
      </w:r>
      <w:r>
        <w:t xml:space="preserve">oder elektronisch beantragt wird.</w:t>
      </w:r>
    </w:p>
    <w:bookmarkEnd w:id="23"/>
    <w:bookmarkStart w:id="24" w:name="abrechnungsberechtigung"/>
    <w:p>
      <w:pPr>
        <w:pStyle w:val="Heading3"/>
      </w:pPr>
      <w:r>
        <w:t xml:space="preserve">§14 [Abrechnungsberechtigung]</w:t>
      </w:r>
    </w:p>
    <w:p>
      <w:pPr>
        <w:pStyle w:val="FirstParagraph"/>
      </w:pPr>
      <w:r>
        <w:t xml:space="preserve">Abrechnungsberechtigte Personen sind:</w:t>
      </w:r>
    </w:p>
    <w:p>
      <w:pPr>
        <w:pStyle w:val="Compact"/>
        <w:numPr>
          <w:ilvl w:val="0"/>
          <w:numId w:val="1017"/>
        </w:numPr>
      </w:pPr>
      <w:r>
        <w:t xml:space="preserve">Mitglieder des Vorstands</w:t>
      </w:r>
    </w:p>
    <w:p>
      <w:pPr>
        <w:pStyle w:val="Compact"/>
        <w:numPr>
          <w:ilvl w:val="0"/>
          <w:numId w:val="1017"/>
        </w:numPr>
      </w:pPr>
      <w:r>
        <w:t xml:space="preserve">Mitglieder des erweiterten Vorstandes</w:t>
      </w:r>
    </w:p>
    <w:p>
      <w:pPr>
        <w:pStyle w:val="Compact"/>
        <w:numPr>
          <w:ilvl w:val="0"/>
          <w:numId w:val="1017"/>
        </w:numPr>
      </w:pPr>
      <w:r>
        <w:t xml:space="preserve">Durch den Vorstand beauftragte Trainer, Prüfer und Kampfrichter mit gültiger Lizenz.</w:t>
      </w:r>
    </w:p>
    <w:bookmarkEnd w:id="24"/>
    <w:bookmarkStart w:id="25" w:name="X12c39becb7425d5077c4695873725e0e6653bb4"/>
    <w:p>
      <w:pPr>
        <w:pStyle w:val="Heading3"/>
      </w:pPr>
      <w:r>
        <w:t xml:space="preserve">§15 [Abrechnung von Fahrtkosten und Übernachtungsgeld]</w:t>
      </w:r>
    </w:p>
    <w:p>
      <w:pPr>
        <w:numPr>
          <w:ilvl w:val="0"/>
          <w:numId w:val="1018"/>
        </w:numPr>
      </w:pPr>
      <w:r>
        <w:t xml:space="preserve">Kilometergeld der Abrechnungsberechtigten zu Veranstaltungen des</w:t>
      </w:r>
      <w:r>
        <w:t xml:space="preserve"> </w:t>
      </w:r>
      <w:r>
        <w:t xml:space="preserve">Landesverbandes sind abrechnungsfähig bis zu einer Entfernung von insgesamt</w:t>
      </w:r>
      <w:r>
        <w:t xml:space="preserve"> </w:t>
      </w:r>
      <w:r>
        <w:t xml:space="preserve">650km mit dem eigenen PKW – hierbei werden je km 0,30€ erstattet.</w:t>
      </w:r>
    </w:p>
    <w:p>
      <w:pPr>
        <w:numPr>
          <w:ilvl w:val="0"/>
          <w:numId w:val="1018"/>
        </w:numPr>
      </w:pPr>
      <w:r>
        <w:t xml:space="preserve">Übersteigen die Kosten den maximal möglichen Erstattungsbetrag des</w:t>
      </w:r>
      <w:r>
        <w:t xml:space="preserve"> </w:t>
      </w:r>
      <w:r>
        <w:t xml:space="preserve">Kilometergeldes, so ist die Bahnfahrt 2. Klasse zu verwenden.</w:t>
      </w:r>
      <w:r>
        <w:t xml:space="preserve"> </w:t>
      </w:r>
      <w:r>
        <w:t xml:space="preserve">Die Kosten einschließlich der Zuschläge werden erstattet.</w:t>
      </w:r>
      <w:r>
        <w:t xml:space="preserve"> </w:t>
      </w:r>
      <w:r>
        <w:t xml:space="preserve">Nur in begründeten Fällen kann das Kilometergeld weiter erstattet werden</w:t>
      </w:r>
      <w:r>
        <w:t xml:space="preserve"> </w:t>
      </w:r>
      <w:r>
        <w:t xml:space="preserve">(z.B. Transport von Ausrüstung des Landesverbandes).</w:t>
      </w:r>
    </w:p>
    <w:p>
      <w:pPr>
        <w:numPr>
          <w:ilvl w:val="0"/>
          <w:numId w:val="1018"/>
        </w:numPr>
      </w:pPr>
      <w:r>
        <w:t xml:space="preserve">Bei mehrtägigen Veranstaltungen kann unter Vorlage der Rechnung pro Nacht ein</w:t>
      </w:r>
      <w:r>
        <w:t xml:space="preserve"> </w:t>
      </w:r>
      <w:r>
        <w:t xml:space="preserve">Übernachtungsgeld von bis zu 100,00€ gezahlt werden.</w:t>
      </w:r>
      <w:r>
        <w:t xml:space="preserve"> </w:t>
      </w:r>
      <w:r>
        <w:t xml:space="preserve">Die Aufwendungen für das Frühstück bleiben hierbei unberücksichtigt.</w:t>
      </w:r>
      <w:r>
        <w:t xml:space="preserve"> </w:t>
      </w:r>
      <w:r>
        <w:t xml:space="preserve">Die Freigabe der Übernachtungskosten ist vor der Veranstaltung durch ein</w:t>
      </w:r>
      <w:r>
        <w:t xml:space="preserve"> </w:t>
      </w:r>
      <w:r>
        <w:t xml:space="preserve">Mitglied des Vorstands schriftlich einzuholen.</w:t>
      </w:r>
    </w:p>
    <w:p>
      <w:pPr>
        <w:numPr>
          <w:ilvl w:val="0"/>
          <w:numId w:val="1018"/>
        </w:numPr>
      </w:pPr>
      <w:r>
        <w:t xml:space="preserve">Verpflegungsmehraufwand werden wie folgt gezahlt:</w:t>
      </w:r>
      <w:r>
        <w:t xml:space="preserve"> </w:t>
      </w:r>
      <w:r>
        <w:t xml:space="preserve">30€ für jeden Kalendertag, an dem der Dienstreisende 24 Stunden von seiner Wohnung abwesend ist,</w:t>
      </w:r>
      <w:r>
        <w:t xml:space="preserve"> </w:t>
      </w:r>
      <w:r>
        <w:t xml:space="preserve">jeweils 15€ für den An- und Abreisetag, wenn der Dienstreisende an diesem, einem anschließenden oder vorhergehenden Tag außerhalb seiner Wohnung übernachtet,</w:t>
      </w:r>
      <w:r>
        <w:t xml:space="preserve"> </w:t>
      </w:r>
      <w:r>
        <w:t xml:space="preserve">15€ für den Kalendertag, an dem der Dienstreisende ohne Übernachtung außerhalb seiner Wohnung mehr als 8 Stunden von seiner Wohnung abwesend ist;</w:t>
      </w:r>
      <w:r>
        <w:t xml:space="preserve"> </w:t>
      </w:r>
      <w:r>
        <w:t xml:space="preserve">beginnt die auswärtige berufliche Tätigkeit an einem Kalendertag und endet am nachfolgenden Kalendertag ohne</w:t>
      </w:r>
      <w:r>
        <w:t xml:space="preserve"> </w:t>
      </w:r>
      <w:r>
        <w:t xml:space="preserve">Übernachtung, werden 15€ für den Kalendertag gewährt, an dem der Dienstreisende den</w:t>
      </w:r>
      <w:r>
        <w:t xml:space="preserve"> </w:t>
      </w:r>
      <w:r>
        <w:t xml:space="preserve">überwiegenden Teil der insgesamt mehr als 8 Stunden von seiner Wohnung abwesend ist.</w:t>
      </w:r>
    </w:p>
    <w:p>
      <w:pPr>
        <w:numPr>
          <w:ilvl w:val="0"/>
          <w:numId w:val="1018"/>
        </w:numPr>
      </w:pPr>
      <w:r>
        <w:t xml:space="preserve">Wird dem Dienstreisenden anlässlich oder während einer Tätigkeit außerhalb seiner</w:t>
      </w:r>
      <w:r>
        <w:t xml:space="preserve"> </w:t>
      </w:r>
      <w:r>
        <w:t xml:space="preserve">Wohnung vom Ausrichter oder auf dessen Veranlassung von einem Dritten eine</w:t>
      </w:r>
      <w:r>
        <w:t xml:space="preserve"> </w:t>
      </w:r>
      <w:r>
        <w:t xml:space="preserve">Mahlzeit zur</w:t>
      </w:r>
      <w:r>
        <w:t xml:space="preserve"> </w:t>
      </w:r>
      <w:r>
        <w:t xml:space="preserve">Verfügung gestellt, sind die nach §15 Absatz 4 ermittelten Verpflegungspauschalen zu</w:t>
      </w:r>
      <w:r>
        <w:t xml:space="preserve"> </w:t>
      </w:r>
      <w:r>
        <w:t xml:space="preserve">kürzen:</w:t>
      </w:r>
    </w:p>
    <w:p>
      <w:pPr>
        <w:pStyle w:val="Compact"/>
        <w:numPr>
          <w:ilvl w:val="1"/>
          <w:numId w:val="1019"/>
        </w:numPr>
      </w:pPr>
      <w:r>
        <w:t xml:space="preserve">für das Frühstück um 20 Prozent,</w:t>
      </w:r>
    </w:p>
    <w:p>
      <w:pPr>
        <w:pStyle w:val="Compact"/>
        <w:numPr>
          <w:ilvl w:val="1"/>
          <w:numId w:val="1019"/>
        </w:numPr>
      </w:pPr>
      <w:r>
        <w:t xml:space="preserve">für ein Mittag- und Abendessen um jeweils 40 Prozent</w:t>
      </w:r>
    </w:p>
    <w:p>
      <w:pPr>
        <w:numPr>
          <w:ilvl w:val="0"/>
          <w:numId w:val="1000"/>
        </w:numPr>
      </w:pPr>
      <w:r>
        <w:br/>
      </w:r>
      <w:r>
        <w:t xml:space="preserve">der nach §15 Absatz 4 genannten Verpflegungspauschale für einen vollen Kalendertag; die</w:t>
      </w:r>
      <w:r>
        <w:t xml:space="preserve"> </w:t>
      </w:r>
      <w:r>
        <w:t xml:space="preserve">Kürzung darf die ermittelte Verpflegungspauschale nicht übersteigen. Hat der</w:t>
      </w:r>
      <w:r>
        <w:t xml:space="preserve"> </w:t>
      </w:r>
      <w:r>
        <w:t xml:space="preserve">Dienstreisende für die Mahlzeit ein Entgelt gezahlt, mindert dieser Betrag den</w:t>
      </w:r>
      <w:r>
        <w:t xml:space="preserve"> </w:t>
      </w:r>
      <w:r>
        <w:t xml:space="preserve">Kürzungsbetrag nach 1. und 2.</w:t>
      </w:r>
    </w:p>
    <w:bookmarkEnd w:id="25"/>
    <w:bookmarkStart w:id="26" w:name="abrechnungen-von-landesveranstaltungen"/>
    <w:p>
      <w:pPr>
        <w:pStyle w:val="Heading3"/>
      </w:pPr>
      <w:r>
        <w:t xml:space="preserve">§16 [Abrechnungen von Landesveranstaltungen]</w:t>
      </w:r>
    </w:p>
    <w:p>
      <w:pPr>
        <w:numPr>
          <w:ilvl w:val="0"/>
          <w:numId w:val="1020"/>
        </w:numPr>
      </w:pPr>
      <w:r>
        <w:t xml:space="preserve">Die Abrechnungen von Landesveranstaltungen müssen die Einnahmen und Ausgaben</w:t>
      </w:r>
      <w:r>
        <w:t xml:space="preserve"> </w:t>
      </w:r>
      <w:r>
        <w:t xml:space="preserve">in allen einzelnen Positionen mit entsprechenden Belegen eindeutig nachweisen.</w:t>
      </w:r>
      <w:r>
        <w:t xml:space="preserve"> </w:t>
      </w:r>
      <w:r>
        <w:t xml:space="preserve">Pauschalbeträge für Verbrauchsmaterialien (z.B. Matopapier, Flipchartpapier, Fudeko, u.s.w.)</w:t>
      </w:r>
      <w:r>
        <w:t xml:space="preserve"> </w:t>
      </w:r>
      <w:r>
        <w:t xml:space="preserve">werden in Höhe von 5,00€ pro Tag erstattet. Diese müssen nicht belegt werden.</w:t>
      </w:r>
      <w:r>
        <w:t xml:space="preserve"> </w:t>
      </w:r>
      <w:r>
        <w:t xml:space="preserve">Übersteigen die tatsächlichen Kosten vom Verbrauchsmaterialien dem Pauschalbetrag,</w:t>
      </w:r>
      <w:r>
        <w:t xml:space="preserve"> </w:t>
      </w:r>
      <w:r>
        <w:t xml:space="preserve">sind diese zu belegen.</w:t>
      </w:r>
    </w:p>
    <w:p>
      <w:pPr>
        <w:numPr>
          <w:ilvl w:val="0"/>
          <w:numId w:val="1020"/>
        </w:numPr>
      </w:pPr>
      <w:r>
        <w:t xml:space="preserve">Neben den Belegen für die Ausgaben sind eine Teilnehmerliste,</w:t>
      </w:r>
      <w:r>
        <w:t xml:space="preserve"> </w:t>
      </w:r>
      <w:r>
        <w:t xml:space="preserve">die Ausschreibung und eventuell ein Kommentar zu den einzelnen Kassenposten</w:t>
      </w:r>
      <w:r>
        <w:t xml:space="preserve"> </w:t>
      </w:r>
      <w:r>
        <w:t xml:space="preserve">ebenfalls bestandteil jeder Abrechnung.</w:t>
      </w:r>
    </w:p>
    <w:p>
      <w:pPr>
        <w:numPr>
          <w:ilvl w:val="0"/>
          <w:numId w:val="1020"/>
        </w:numPr>
      </w:pPr>
      <w:r>
        <w:t xml:space="preserve">Die Ausrichter haben grundsätzlich kostendeckend zu arbeiten.</w:t>
      </w:r>
      <w:r>
        <w:t xml:space="preserve"> </w:t>
      </w:r>
      <w:r>
        <w:t xml:space="preserve">Eine Teilnehmergebühr von 10,00€ pro Veranstaltung ist zu erheben.</w:t>
      </w:r>
      <w:r>
        <w:t xml:space="preserve"> </w:t>
      </w:r>
      <w:r>
        <w:t xml:space="preserve">Eventuelle Überschüsse sind auf das NWKyuV-Konto zu überweisen.</w:t>
      </w:r>
    </w:p>
    <w:p>
      <w:pPr>
        <w:numPr>
          <w:ilvl w:val="0"/>
          <w:numId w:val="1020"/>
        </w:numPr>
      </w:pPr>
      <w:r>
        <w:t xml:space="preserve">Entfallen.</w:t>
      </w:r>
    </w:p>
    <w:p>
      <w:pPr>
        <w:numPr>
          <w:ilvl w:val="0"/>
          <w:numId w:val="1020"/>
        </w:numPr>
      </w:pPr>
      <w:r>
        <w:t xml:space="preserve">Bestimmte Leistungen wie z.B. Unterkunft in der Halle, Frühstück</w:t>
      </w:r>
      <w:r>
        <w:t xml:space="preserve"> </w:t>
      </w:r>
      <w:r>
        <w:t xml:space="preserve">Pausensnacks, Verkauf von Materialien usw. dürfen nicht mit in die</w:t>
      </w:r>
      <w:r>
        <w:t xml:space="preserve"> </w:t>
      </w:r>
      <w:r>
        <w:t xml:space="preserve">Teilnahmegebühr für Landesveranstaltungen verrechnet werden.</w:t>
      </w:r>
    </w:p>
    <w:bookmarkEnd w:id="26"/>
    <w:bookmarkStart w:id="27" w:name="kostenübernahme"/>
    <w:p>
      <w:pPr>
        <w:pStyle w:val="Heading3"/>
      </w:pPr>
      <w:r>
        <w:t xml:space="preserve">§17 [Kostenübernahme]</w:t>
      </w:r>
    </w:p>
    <w:p>
      <w:pPr>
        <w:numPr>
          <w:ilvl w:val="0"/>
          <w:numId w:val="1021"/>
        </w:numPr>
      </w:pPr>
      <w:r>
        <w:t xml:space="preserve">Der NWKyuV übernimmt die Startgelder und anfallende Gebühren (ohne Verpflegung) der Teilnehmer an</w:t>
      </w:r>
      <w:r>
        <w:t xml:space="preserve"> </w:t>
      </w:r>
      <w:r>
        <w:t xml:space="preserve">den Deutschen Kyudo-Meisterschaften.</w:t>
      </w:r>
    </w:p>
    <w:p>
      <w:pPr>
        <w:numPr>
          <w:ilvl w:val="0"/>
          <w:numId w:val="1021"/>
        </w:numPr>
      </w:pPr>
      <w:r>
        <w:t xml:space="preserve">Der NWKyuV bezuschusst die Kosten der unmittelbaren Ausrichtung für das</w:t>
      </w:r>
      <w:r>
        <w:t xml:space="preserve"> </w:t>
      </w:r>
      <w:r>
        <w:t xml:space="preserve">Training des Landes-Wettkampfkaders. Die maximale Höhe des Zuschusses wird im</w:t>
      </w:r>
      <w:r>
        <w:t xml:space="preserve"> </w:t>
      </w:r>
      <w:r>
        <w:t xml:space="preserve">jährlichen Haushaltsplan festgelegt.</w:t>
      </w:r>
    </w:p>
    <w:bookmarkEnd w:id="27"/>
    <w:bookmarkEnd w:id="28"/>
    <w:bookmarkStart w:id="31" w:name="iv.-verwaltungskosten"/>
    <w:p>
      <w:pPr>
        <w:pStyle w:val="Heading2"/>
      </w:pPr>
      <w:r>
        <w:t xml:space="preserve">IV. Verwaltungskosten</w:t>
      </w:r>
    </w:p>
    <w:bookmarkStart w:id="29" w:name="portokosten"/>
    <w:p>
      <w:pPr>
        <w:pStyle w:val="Heading3"/>
      </w:pPr>
      <w:r>
        <w:t xml:space="preserve">§18 [Portokosten]</w:t>
      </w:r>
    </w:p>
    <w:p>
      <w:pPr>
        <w:pStyle w:val="FirstParagraph"/>
      </w:pPr>
      <w:r>
        <w:t xml:space="preserve">Kosten für Porto und Büromaterial werden den nach §14.1 Berechtigten in</w:t>
      </w:r>
      <w:r>
        <w:t xml:space="preserve"> </w:t>
      </w:r>
      <w:r>
        <w:t xml:space="preserve">angefallener Höhe ersetzt und sind zu belegen.</w:t>
      </w:r>
    </w:p>
    <w:bookmarkEnd w:id="29"/>
    <w:bookmarkStart w:id="30" w:name="telefonkosten"/>
    <w:p>
      <w:pPr>
        <w:pStyle w:val="Heading3"/>
      </w:pPr>
      <w:r>
        <w:t xml:space="preserve">§19 [Telefonkosten]</w:t>
      </w:r>
    </w:p>
    <w:p>
      <w:pPr>
        <w:pStyle w:val="FirstParagraph"/>
      </w:pPr>
      <w:r>
        <w:t xml:space="preserve">Telefonkosten werden den nach §14.1 Berechtigten in Form von Pauschalbeiträgen</w:t>
      </w:r>
      <w:r>
        <w:t xml:space="preserve"> </w:t>
      </w:r>
      <w:r>
        <w:t xml:space="preserve">in Höhe von 20,-€ jährlich ersetzt.</w:t>
      </w:r>
    </w:p>
    <w:bookmarkEnd w:id="30"/>
    <w:bookmarkEnd w:id="31"/>
    <w:bookmarkStart w:id="34" w:name="v.-formularwesen"/>
    <w:p>
      <w:pPr>
        <w:pStyle w:val="Heading2"/>
      </w:pPr>
      <w:r>
        <w:t xml:space="preserve">V. Formularwesen</w:t>
      </w:r>
    </w:p>
    <w:bookmarkStart w:id="32" w:name="formulare"/>
    <w:p>
      <w:pPr>
        <w:pStyle w:val="Heading3"/>
      </w:pPr>
      <w:r>
        <w:t xml:space="preserve">§20 [Formulare]</w:t>
      </w:r>
    </w:p>
    <w:p>
      <w:pPr>
        <w:pStyle w:val="FirstParagraph"/>
      </w:pPr>
      <w:r>
        <w:t xml:space="preserve">Der Geschäftsverkehr hat in schriftlicher Form mit Belegen zu erfolgen.</w:t>
      </w:r>
    </w:p>
    <w:bookmarkEnd w:id="32"/>
    <w:bookmarkStart w:id="33" w:name="X0b373ad46f814081e9252f62330747be3a9498c"/>
    <w:p>
      <w:pPr>
        <w:pStyle w:val="Heading3"/>
      </w:pPr>
      <w:r>
        <w:t xml:space="preserve">§21 [Inkrafttreten und Änderungen dieser Ordnung]</w:t>
      </w:r>
    </w:p>
    <w:p>
      <w:pPr>
        <w:pStyle w:val="FirstParagraph"/>
      </w:pPr>
      <w:r>
        <w:t xml:space="preserve">Diese Finanzordnung tritt mit Wirkung von 09.02.2006 in Kraft und</w:t>
      </w:r>
      <w:r>
        <w:t xml:space="preserve"> </w:t>
      </w:r>
      <w:r>
        <w:t xml:space="preserve">kann von der Mitgliederversammlung des NWKyuV mit einfacher Stimmenmehrheit</w:t>
      </w:r>
      <w:r>
        <w:t xml:space="preserve"> </w:t>
      </w:r>
      <w:r>
        <w:t xml:space="preserve">geändert werden.</w:t>
      </w:r>
    </w:p>
    <w:bookmarkEnd w:id="33"/>
    <w:bookmarkEnd w:id="34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31">
    <w:nsid w:val="00A99431"/>
    <w:multiLevelType w:val="multilevel"/>
    <w:lvl w:ilvl="0">
      <w:start w:val="1"/>
      <w:numFmt w:val="decimal"/>
      <w:lvlText w:val="(%1)"/>
      <w:lvlJc w:val="left"/>
      <w:pPr>
        <w:ind w:left="720" w:hanging="360"/>
      </w:pPr>
    </w:lvl>
    <w:lvl w:ilvl="1">
      <w:start w:val="1"/>
      <w:numFmt w:val="decimal"/>
      <w:lvlText w:val="(%2)"/>
      <w:lvlJc w:val="left"/>
      <w:pPr>
        <w:ind w:left="1440" w:hanging="360"/>
      </w:pPr>
    </w:lvl>
    <w:lvl w:ilvl="2">
      <w:start w:val="1"/>
      <w:numFmt w:val="decimal"/>
      <w:lvlText w:val="(%3)"/>
      <w:lvlJc w:val="left"/>
      <w:pPr>
        <w:ind w:left="2160" w:hanging="360"/>
      </w:pPr>
    </w:lvl>
    <w:lvl w:ilvl="3">
      <w:start w:val="1"/>
      <w:numFmt w:val="decimal"/>
      <w:lvlText w:val="(%4)"/>
      <w:lvlJc w:val="left"/>
      <w:pPr>
        <w:ind w:left="2880" w:hanging="360"/>
      </w:pPr>
    </w:lvl>
    <w:lvl w:ilvl="4">
      <w:start w:val="1"/>
      <w:numFmt w:val="decimal"/>
      <w:lvlText w:val="(%5)"/>
      <w:lvlJc w:val="left"/>
      <w:pPr>
        <w:ind w:left="3600" w:hanging="360"/>
      </w:pPr>
    </w:lvl>
    <w:lvl w:ilvl="5">
      <w:start w:val="1"/>
      <w:numFmt w:val="decimal"/>
      <w:lvlText w:val="(%6)"/>
      <w:lvlJc w:val="left"/>
      <w:pPr>
        <w:ind w:left="4320" w:hanging="360"/>
      </w:pPr>
    </w:lvl>
    <w:lvl w:ilvl="6">
      <w:start w:val="1"/>
      <w:numFmt w:val="decimal"/>
      <w:lvlText w:val="(%7)"/>
      <w:lvlJc w:val="left"/>
      <w:pPr>
        <w:ind w:left="5040" w:hanging="360"/>
      </w:pPr>
    </w:lvl>
    <w:lvl w:ilvl="7">
      <w:start w:val="1"/>
      <w:numFmt w:val="decimal"/>
      <w:lvlText w:val="(%8)"/>
      <w:lvlJc w:val="left"/>
      <w:pPr>
        <w:ind w:left="5760" w:hanging="360"/>
      </w:pPr>
    </w:lvl>
    <w:lvl w:ilvl="8">
      <w:start w:val="1"/>
      <w:numFmt w:val="decimal"/>
      <w:lvlText w:val="(%9)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9721">
    <w:nsid w:val="00A99721"/>
    <w:multiLevelType w:val="multilevel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Letter"/>
      <w:lvlText w:val="%3)"/>
      <w:lvlJc w:val="left"/>
      <w:pPr>
        <w:ind w:left="2160" w:hanging="360"/>
      </w:pPr>
    </w:lvl>
    <w:lvl w:ilvl="3">
      <w:start w:val="1"/>
      <w:numFmt w:val="lowerLetter"/>
      <w:lvlText w:val="%4)"/>
      <w:lvlJc w:val="left"/>
      <w:pPr>
        <w:ind w:left="2880" w:hanging="360"/>
      </w:pPr>
    </w:lvl>
    <w:lvl w:ilvl="4">
      <w:start w:val="1"/>
      <w:numFmt w:val="lowerLetter"/>
      <w:lvlText w:val="%5)"/>
      <w:lvlJc w:val="left"/>
      <w:pPr>
        <w:ind w:left="3600" w:hanging="360"/>
      </w:pPr>
    </w:lvl>
    <w:lvl w:ilvl="5">
      <w:start w:val="1"/>
      <w:numFmt w:val="lowerLetter"/>
      <w:lvlText w:val="%6)"/>
      <w:lvlJc w:val="left"/>
      <w:pPr>
        <w:ind w:left="4320" w:hanging="360"/>
      </w:pPr>
    </w:lvl>
    <w:lvl w:ilvl="6">
      <w:start w:val="1"/>
      <w:numFmt w:val="lowerLetter"/>
      <w:lvlText w:val="%7)"/>
      <w:lvlJc w:val="left"/>
      <w:pPr>
        <w:ind w:left="5040" w:hanging="360"/>
      </w:pPr>
    </w:lvl>
    <w:lvl w:ilvl="7">
      <w:start w:val="1"/>
      <w:numFmt w:val="lowerLetter"/>
      <w:lvlText w:val="%8)"/>
      <w:lvlJc w:val="left"/>
      <w:pPr>
        <w:ind w:left="5760" w:hanging="360"/>
      </w:pPr>
    </w:lvl>
    <w:lvl w:ilvl="8">
      <w:start w:val="1"/>
      <w:numFmt w:val="lowerLetter"/>
      <w:lvlText w:val="%9)"/>
      <w:lvlJc w:val="left"/>
      <w:pPr>
        <w:ind w:left="6480" w:hanging="360"/>
      </w:pPr>
    </w:lvl>
  </w:abstractNum>
  <w:abstractNum w:abstractNumId="99722">
    <w:nsid w:val="00A99722"/>
    <w:multiLevelType w:val="multilevel"/>
    <w:lvl w:ilvl="0">
      <w:start w:val="2"/>
      <w:numFmt w:val="lowerLetter"/>
      <w:lvlText w:val="%1)"/>
      <w:lvlJc w:val="left"/>
      <w:pPr>
        <w:ind w:left="720" w:hanging="360"/>
      </w:pPr>
    </w:lvl>
    <w:lvl w:ilvl="1">
      <w:start w:val="2"/>
      <w:numFmt w:val="lowerLetter"/>
      <w:lvlText w:val="%2)"/>
      <w:lvlJc w:val="left"/>
      <w:pPr>
        <w:ind w:left="1440" w:hanging="360"/>
      </w:pPr>
    </w:lvl>
    <w:lvl w:ilvl="2">
      <w:start w:val="2"/>
      <w:numFmt w:val="lowerLetter"/>
      <w:lvlText w:val="%3)"/>
      <w:lvlJc w:val="left"/>
      <w:pPr>
        <w:ind w:left="2160" w:hanging="360"/>
      </w:pPr>
    </w:lvl>
    <w:lvl w:ilvl="3">
      <w:start w:val="2"/>
      <w:numFmt w:val="lowerLetter"/>
      <w:lvlText w:val="%4)"/>
      <w:lvlJc w:val="left"/>
      <w:pPr>
        <w:ind w:left="2880" w:hanging="360"/>
      </w:pPr>
    </w:lvl>
    <w:lvl w:ilvl="4">
      <w:start w:val="2"/>
      <w:numFmt w:val="lowerLetter"/>
      <w:lvlText w:val="%5)"/>
      <w:lvlJc w:val="left"/>
      <w:pPr>
        <w:ind w:left="3600" w:hanging="360"/>
      </w:pPr>
    </w:lvl>
    <w:lvl w:ilvl="5">
      <w:start w:val="2"/>
      <w:numFmt w:val="lowerLetter"/>
      <w:lvlText w:val="%6)"/>
      <w:lvlJc w:val="left"/>
      <w:pPr>
        <w:ind w:left="4320" w:hanging="360"/>
      </w:pPr>
    </w:lvl>
    <w:lvl w:ilvl="6">
      <w:start w:val="2"/>
      <w:numFmt w:val="lowerLetter"/>
      <w:lvlText w:val="%7)"/>
      <w:lvlJc w:val="left"/>
      <w:pPr>
        <w:ind w:left="5040" w:hanging="360"/>
      </w:pPr>
    </w:lvl>
    <w:lvl w:ilvl="7">
      <w:start w:val="2"/>
      <w:numFmt w:val="lowerLetter"/>
      <w:lvlText w:val="%8)"/>
      <w:lvlJc w:val="left"/>
      <w:pPr>
        <w:ind w:left="5760" w:hanging="360"/>
      </w:pPr>
    </w:lvl>
    <w:lvl w:ilvl="8">
      <w:start w:val="2"/>
      <w:numFmt w:val="lowerLetter"/>
      <w:lvlText w:val="%9)"/>
      <w:lvlJc w:val="left"/>
      <w:pPr>
        <w:ind w:left="6480" w:hanging="360"/>
      </w:pPr>
    </w:lvl>
  </w:abstractNum>
  <w:abstractNum w:abstractNumId="99723">
    <w:nsid w:val="00A99723"/>
    <w:multiLevelType w:val="multilevel"/>
    <w:lvl w:ilvl="0">
      <w:start w:val="3"/>
      <w:numFmt w:val="lowerLetter"/>
      <w:lvlText w:val="%1)"/>
      <w:lvlJc w:val="left"/>
      <w:pPr>
        <w:ind w:left="720" w:hanging="360"/>
      </w:pPr>
    </w:lvl>
    <w:lvl w:ilvl="1">
      <w:start w:val="3"/>
      <w:numFmt w:val="lowerLetter"/>
      <w:lvlText w:val="%2)"/>
      <w:lvlJc w:val="left"/>
      <w:pPr>
        <w:ind w:left="1440" w:hanging="360"/>
      </w:pPr>
    </w:lvl>
    <w:lvl w:ilvl="2">
      <w:start w:val="3"/>
      <w:numFmt w:val="lowerLetter"/>
      <w:lvlText w:val="%3)"/>
      <w:lvlJc w:val="left"/>
      <w:pPr>
        <w:ind w:left="2160" w:hanging="360"/>
      </w:pPr>
    </w:lvl>
    <w:lvl w:ilvl="3">
      <w:start w:val="3"/>
      <w:numFmt w:val="lowerLetter"/>
      <w:lvlText w:val="%4)"/>
      <w:lvlJc w:val="left"/>
      <w:pPr>
        <w:ind w:left="2880" w:hanging="360"/>
      </w:pPr>
    </w:lvl>
    <w:lvl w:ilvl="4">
      <w:start w:val="3"/>
      <w:numFmt w:val="lowerLetter"/>
      <w:lvlText w:val="%5)"/>
      <w:lvlJc w:val="left"/>
      <w:pPr>
        <w:ind w:left="3600" w:hanging="360"/>
      </w:pPr>
    </w:lvl>
    <w:lvl w:ilvl="5">
      <w:start w:val="3"/>
      <w:numFmt w:val="lowerLetter"/>
      <w:lvlText w:val="%6)"/>
      <w:lvlJc w:val="left"/>
      <w:pPr>
        <w:ind w:left="4320" w:hanging="360"/>
      </w:pPr>
    </w:lvl>
    <w:lvl w:ilvl="6">
      <w:start w:val="3"/>
      <w:numFmt w:val="lowerLetter"/>
      <w:lvlText w:val="%7)"/>
      <w:lvlJc w:val="left"/>
      <w:pPr>
        <w:ind w:left="5040" w:hanging="360"/>
      </w:pPr>
    </w:lvl>
    <w:lvl w:ilvl="7">
      <w:start w:val="3"/>
      <w:numFmt w:val="lowerLetter"/>
      <w:lvlText w:val="%8)"/>
      <w:lvlJc w:val="left"/>
      <w:pPr>
        <w:ind w:left="5760" w:hanging="360"/>
      </w:pPr>
    </w:lvl>
    <w:lvl w:ilvl="8">
      <w:start w:val="3"/>
      <w:numFmt w:val="lowerLetter"/>
      <w:lvlText w:val="%9)"/>
      <w:lvlJc w:val="left"/>
      <w:pPr>
        <w:ind w:left="6480" w:hanging="360"/>
      </w:pPr>
    </w:lvl>
  </w:abstractNum>
  <w:abstractNum w:abstractNumId="99724">
    <w:nsid w:val="00A99724"/>
    <w:multiLevelType w:val="multilevel"/>
    <w:lvl w:ilvl="0">
      <w:start w:val="4"/>
      <w:numFmt w:val="lowerLetter"/>
      <w:lvlText w:val="%1)"/>
      <w:lvlJc w:val="left"/>
      <w:pPr>
        <w:ind w:left="720" w:hanging="360"/>
      </w:pPr>
    </w:lvl>
    <w:lvl w:ilvl="1">
      <w:start w:val="4"/>
      <w:numFmt w:val="lowerLetter"/>
      <w:lvlText w:val="%2)"/>
      <w:lvlJc w:val="left"/>
      <w:pPr>
        <w:ind w:left="1440" w:hanging="360"/>
      </w:pPr>
    </w:lvl>
    <w:lvl w:ilvl="2">
      <w:start w:val="4"/>
      <w:numFmt w:val="lowerLetter"/>
      <w:lvlText w:val="%3)"/>
      <w:lvlJc w:val="left"/>
      <w:pPr>
        <w:ind w:left="2160" w:hanging="360"/>
      </w:pPr>
    </w:lvl>
    <w:lvl w:ilvl="3">
      <w:start w:val="4"/>
      <w:numFmt w:val="lowerLetter"/>
      <w:lvlText w:val="%4)"/>
      <w:lvlJc w:val="left"/>
      <w:pPr>
        <w:ind w:left="2880" w:hanging="360"/>
      </w:pPr>
    </w:lvl>
    <w:lvl w:ilvl="4">
      <w:start w:val="4"/>
      <w:numFmt w:val="lowerLetter"/>
      <w:lvlText w:val="%5)"/>
      <w:lvlJc w:val="left"/>
      <w:pPr>
        <w:ind w:left="3600" w:hanging="360"/>
      </w:pPr>
    </w:lvl>
    <w:lvl w:ilvl="5">
      <w:start w:val="4"/>
      <w:numFmt w:val="lowerLetter"/>
      <w:lvlText w:val="%6)"/>
      <w:lvlJc w:val="left"/>
      <w:pPr>
        <w:ind w:left="4320" w:hanging="360"/>
      </w:pPr>
    </w:lvl>
    <w:lvl w:ilvl="6">
      <w:start w:val="4"/>
      <w:numFmt w:val="lowerLetter"/>
      <w:lvlText w:val="%7)"/>
      <w:lvlJc w:val="left"/>
      <w:pPr>
        <w:ind w:left="5040" w:hanging="360"/>
      </w:pPr>
    </w:lvl>
    <w:lvl w:ilvl="7">
      <w:start w:val="4"/>
      <w:numFmt w:val="lowerLetter"/>
      <w:lvlText w:val="%8)"/>
      <w:lvlJc w:val="left"/>
      <w:pPr>
        <w:ind w:left="5760" w:hanging="360"/>
      </w:pPr>
    </w:lvl>
    <w:lvl w:ilvl="8">
      <w:start w:val="4"/>
      <w:numFmt w:val="lowerLetter"/>
      <w:lvlText w:val="%9)"/>
      <w:lvlJc w:val="left"/>
      <w:pPr>
        <w:ind w:left="6480" w:hanging="360"/>
      </w:pPr>
    </w:lvl>
  </w:abstractNum>
  <w:abstractNum w:abstractNumId="99432">
    <w:nsid w:val="00A99432"/>
    <w:multiLevelType w:val="multilevel"/>
    <w:lvl w:ilvl="0">
      <w:start w:val="2"/>
      <w:numFmt w:val="decimal"/>
      <w:lvlText w:val="(%1)"/>
      <w:lvlJc w:val="left"/>
      <w:pPr>
        <w:ind w:left="720" w:hanging="360"/>
      </w:pPr>
    </w:lvl>
    <w:lvl w:ilvl="1">
      <w:start w:val="2"/>
      <w:numFmt w:val="decimal"/>
      <w:lvlText w:val="(%2)"/>
      <w:lvlJc w:val="left"/>
      <w:pPr>
        <w:ind w:left="1440" w:hanging="360"/>
      </w:pPr>
    </w:lvl>
    <w:lvl w:ilvl="2">
      <w:start w:val="2"/>
      <w:numFmt w:val="decimal"/>
      <w:lvlText w:val="(%3)"/>
      <w:lvlJc w:val="left"/>
      <w:pPr>
        <w:ind w:left="2160" w:hanging="360"/>
      </w:pPr>
    </w:lvl>
    <w:lvl w:ilvl="3">
      <w:start w:val="2"/>
      <w:numFmt w:val="decimal"/>
      <w:lvlText w:val="(%4)"/>
      <w:lvlJc w:val="left"/>
      <w:pPr>
        <w:ind w:left="2880" w:hanging="360"/>
      </w:pPr>
    </w:lvl>
    <w:lvl w:ilvl="4">
      <w:start w:val="2"/>
      <w:numFmt w:val="decimal"/>
      <w:lvlText w:val="(%5)"/>
      <w:lvlJc w:val="left"/>
      <w:pPr>
        <w:ind w:left="3600" w:hanging="360"/>
      </w:pPr>
    </w:lvl>
    <w:lvl w:ilvl="5">
      <w:start w:val="2"/>
      <w:numFmt w:val="decimal"/>
      <w:lvlText w:val="(%6)"/>
      <w:lvlJc w:val="left"/>
      <w:pPr>
        <w:ind w:left="4320" w:hanging="360"/>
      </w:pPr>
    </w:lvl>
    <w:lvl w:ilvl="6">
      <w:start w:val="2"/>
      <w:numFmt w:val="decimal"/>
      <w:lvlText w:val="(%7)"/>
      <w:lvlJc w:val="left"/>
      <w:pPr>
        <w:ind w:left="5040" w:hanging="360"/>
      </w:pPr>
    </w:lvl>
    <w:lvl w:ilvl="7">
      <w:start w:val="2"/>
      <w:numFmt w:val="decimal"/>
      <w:lvlText w:val="(%8)"/>
      <w:lvlJc w:val="left"/>
      <w:pPr>
        <w:ind w:left="5760" w:hanging="360"/>
      </w:pPr>
    </w:lvl>
    <w:lvl w:ilvl="8">
      <w:start w:val="2"/>
      <w:numFmt w:val="decimal"/>
      <w:lvlText w:val="(%9)"/>
      <w:lvlJc w:val="left"/>
      <w:pPr>
        <w:ind w:left="6480" w:hanging="360"/>
      </w:pPr>
    </w:lvl>
  </w:abstractNum>
  <w:abstractNum w:abstractNumId="99731">
    <w:nsid w:val="00A99731"/>
    <w:multiLevelType w:val="multilevel"/>
    <w:lvl w:ilvl="0">
      <w:start w:val="1"/>
      <w:numFmt w:val="lowerLetter"/>
      <w:lvlText w:val="(%1)"/>
      <w:lvlJc w:val="left"/>
      <w:pPr>
        <w:ind w:left="720" w:hanging="360"/>
      </w:pPr>
    </w:lvl>
    <w:lvl w:ilvl="1">
      <w:start w:val="1"/>
      <w:numFmt w:val="lowerLetter"/>
      <w:lvlText w:val="(%2)"/>
      <w:lvlJc w:val="left"/>
      <w:pPr>
        <w:ind w:left="1440" w:hanging="360"/>
      </w:pPr>
    </w:lvl>
    <w:lvl w:ilvl="2">
      <w:start w:val="1"/>
      <w:numFmt w:val="lowerLetter"/>
      <w:lvlText w:val="(%3)"/>
      <w:lvlJc w:val="left"/>
      <w:pPr>
        <w:ind w:left="2160" w:hanging="360"/>
      </w:pPr>
    </w:lvl>
    <w:lvl w:ilvl="3">
      <w:start w:val="1"/>
      <w:numFmt w:val="lowerLetter"/>
      <w:lvlText w:val="(%4)"/>
      <w:lvlJc w:val="left"/>
      <w:pPr>
        <w:ind w:left="2880" w:hanging="360"/>
      </w:pPr>
    </w:lvl>
    <w:lvl w:ilvl="4">
      <w:start w:val="1"/>
      <w:numFmt w:val="lowerLetter"/>
      <w:lvlText w:val="(%5)"/>
      <w:lvlJc w:val="left"/>
      <w:pPr>
        <w:ind w:left="3600" w:hanging="360"/>
      </w:pPr>
    </w:lvl>
    <w:lvl w:ilvl="5">
      <w:start w:val="1"/>
      <w:numFmt w:val="lowerLetter"/>
      <w:lvlText w:val="(%6)"/>
      <w:lvlJc w:val="left"/>
      <w:pPr>
        <w:ind w:left="4320" w:hanging="360"/>
      </w:pPr>
    </w:lvl>
    <w:lvl w:ilvl="6">
      <w:start w:val="1"/>
      <w:numFmt w:val="lowerLetter"/>
      <w:lvlText w:val="(%7)"/>
      <w:lvlJc w:val="left"/>
      <w:pPr>
        <w:ind w:left="5040" w:hanging="360"/>
      </w:pPr>
    </w:lvl>
    <w:lvl w:ilvl="7">
      <w:start w:val="1"/>
      <w:numFmt w:val="lowerLetter"/>
      <w:lvlText w:val="(%8)"/>
      <w:lvlJc w:val="left"/>
      <w:pPr>
        <w:ind w:left="5760" w:hanging="360"/>
      </w:pPr>
    </w:lvl>
    <w:lvl w:ilvl="8">
      <w:start w:val="1"/>
      <w:numFmt w:val="lowerLetter"/>
      <w:lvlText w:val="(%9)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4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5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6">
    <w:abstractNumId w:val="991"/>
  </w:num>
  <w:num w:numId="1007">
    <w:abstractNumId w:val="997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8">
    <w:abstractNumId w:val="9972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9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0">
    <w:abstractNumId w:val="991"/>
  </w:num>
  <w:num w:numId="1011">
    <w:abstractNumId w:val="997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2">
    <w:abstractNumId w:val="9972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13">
    <w:abstractNumId w:val="9972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14">
    <w:abstractNumId w:val="9972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15">
    <w:abstractNumId w:val="9943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16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7">
    <w:abstractNumId w:val="997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8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9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0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1">
    <w:abstractNumId w:val="994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zh-CN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basedOn w:val="Title"/>
    <w:next w:val="BodyText"/>
    <w:qFormat/>
    <w:pPr>
      <w:keepNext/>
      <w:keepLines/>
    </w:pPr>
    <w:rPr>
      <w:sz w:val="24"/>
      <w:szCs w:val="24"/>
    </w:rPr>
  </w:style>
  <w:style w:styleId="Date" w:type="paragraph">
    <w:name w:val="Date"/>
    <w:basedOn w:val="Title"/>
    <w:next w:val="BodyText"/>
    <w:qFormat/>
    <w:pPr>
      <w:keepNext/>
      <w:keepLines/>
    </w:pPr>
    <w:rPr>
      <w:sz w:val="24"/>
      <w:szCs w:val="24"/>
    </w:r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8" Target="numbering.xml" /><Relationship Type="http://schemas.openxmlformats.org/officeDocument/2006/relationships/styles" Id="rId7" Target="styles.xml" /><Relationship Type="http://schemas.openxmlformats.org/officeDocument/2006/relationships/settings" Id="rId6" Target="settings.xml" /><Relationship Type="http://schemas.openxmlformats.org/officeDocument/2006/relationships/webSettings" Id="rId5" Target="webSettings.xml" /><Relationship Type="http://schemas.openxmlformats.org/officeDocument/2006/relationships/fontTable" Id="rId4" Target="fontTable.xml" /><Relationship Type="http://schemas.openxmlformats.org/officeDocument/2006/relationships/theme" Id="rId3" Target="theme/theme1.xml" /><Relationship Type="http://schemas.openxmlformats.org/officeDocument/2006/relationships/footnotes" Id="rId2" Target="footnotes.xml" /><Relationship Type="http://schemas.openxmlformats.org/officeDocument/2006/relationships/comments" Id="rId1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Finanzordnung (NWKyuV)</dc:title>
  <dc:creator/>
  <cp:keywords/>
  <dcterms:created xsi:type="dcterms:W3CDTF">2026-02-17T11:57:45Z</dcterms:created>
  <dcterms:modified xsi:type="dcterms:W3CDTF">2026-02-17T11:57:45Z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">
    <vt:lpwstr>2025-10-28</vt:lpwstr>
  </property>
  <property fmtid="{D5CDD505-2E9C-101B-9397-08002B2CF9AE}" pid="3" name="format">
    <vt:lpwstr>none</vt:lpwstr>
  </property>
  <property fmtid="{D5CDD505-2E9C-101B-9397-08002B2CF9AE}" pid="4" name="layout">
    <vt:lpwstr>single</vt:lpwstr>
  </property>
  <property fmtid="{D5CDD505-2E9C-101B-9397-08002B2CF9AE}" pid="5" name="permalink">
    <vt:lpwstr>/ordnungen/finanzordnung</vt:lpwstr>
  </property>
  <property fmtid="{D5CDD505-2E9C-101B-9397-08002B2CF9AE}" pid="6" name="toc">
    <vt:lpwstr>False</vt:lpwstr>
  </property>
  <property fmtid="{D5CDD505-2E9C-101B-9397-08002B2CF9AE}" pid="7" name="toc_sticky">
    <vt:lpwstr>True</vt:lpwstr>
  </property>
</Properties>
</file>